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32F53" w14:textId="77777777" w:rsidR="00420E4E" w:rsidRPr="008563D6" w:rsidRDefault="008563D6" w:rsidP="008563D6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8563D6">
        <w:rPr>
          <w:rFonts w:ascii="Calibri" w:hAnsi="Calibri"/>
          <w:b/>
          <w:color w:val="0070C0"/>
          <w:sz w:val="28"/>
          <w:szCs w:val="28"/>
        </w:rPr>
        <w:t>PROCEDURA PER GESTIONE LISTA D’ATTESA</w:t>
      </w:r>
    </w:p>
    <w:p w14:paraId="5E5B4011" w14:textId="77777777" w:rsidR="008563D6" w:rsidRDefault="008563D6"/>
    <w:tbl>
      <w:tblPr>
        <w:tblW w:w="93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17"/>
        <w:gridCol w:w="110"/>
        <w:gridCol w:w="3118"/>
        <w:gridCol w:w="2923"/>
      </w:tblGrid>
      <w:tr w:rsidR="00420E4E" w14:paraId="708E6C81" w14:textId="77777777">
        <w:trPr>
          <w:trHeight w:val="393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FDD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EMISSIONE</w:t>
            </w:r>
          </w:p>
        </w:tc>
      </w:tr>
      <w:tr w:rsidR="00420E4E" w14:paraId="7D6C4040" w14:textId="77777777">
        <w:trPr>
          <w:trHeight w:val="817"/>
        </w:trPr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E5F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Procedura : </w:t>
            </w:r>
          </w:p>
          <w:p w14:paraId="5B938F94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PR-DG-008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FC07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Data </w:t>
            </w:r>
          </w:p>
          <w:p w14:paraId="328C7B86" w14:textId="2F7761A2" w:rsidR="00420E4E" w:rsidRDefault="00E27E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24/06/2019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9B7F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5392C7C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I    EMISSIONE</w:t>
            </w:r>
          </w:p>
        </w:tc>
      </w:tr>
      <w:tr w:rsidR="00420E4E" w14:paraId="6EB9B464" w14:textId="77777777">
        <w:trPr>
          <w:trHeight w:val="393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C1B9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REVISIONI</w:t>
            </w:r>
          </w:p>
        </w:tc>
      </w:tr>
      <w:tr w:rsidR="00420E4E" w14:paraId="63B2A80B" w14:textId="77777777">
        <w:trPr>
          <w:trHeight w:val="3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687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Cod.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procedura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9FF4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3797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Motivo della Revisione</w:t>
            </w:r>
          </w:p>
        </w:tc>
      </w:tr>
      <w:tr w:rsidR="00420E4E" w:rsidRPr="008E2C10" w14:paraId="7C0E1B4A" w14:textId="77777777" w:rsidTr="008E2C10">
        <w:trPr>
          <w:trHeight w:val="2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A881" w14:textId="77777777" w:rsidR="00420E4E" w:rsidRPr="008E2C10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7E3608" w14:textId="77777777" w:rsidR="00420E4E" w:rsidRPr="008E2C10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C10">
              <w:rPr>
                <w:rFonts w:ascii="Arial" w:hAnsi="Arial" w:cs="Arial"/>
                <w:b/>
                <w:bCs/>
                <w:sz w:val="16"/>
                <w:szCs w:val="16"/>
              </w:rPr>
              <w:t>PR-DG-008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8A3A" w14:textId="4176F891" w:rsidR="00420E4E" w:rsidRPr="008E2C10" w:rsidRDefault="0042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AB2F" w14:textId="11E96290" w:rsidR="00420E4E" w:rsidRPr="008E2C10" w:rsidRDefault="00420E4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20E4E" w14:paraId="5AD5DEC2" w14:textId="77777777">
        <w:trPr>
          <w:trHeight w:val="2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D168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234F6E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2832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DC1B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420E4E" w14:paraId="2B425F0D" w14:textId="77777777">
        <w:trPr>
          <w:trHeight w:val="2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87E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7FD8D2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B1B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B33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420E4E" w14:paraId="68E925CC" w14:textId="77777777">
        <w:trPr>
          <w:trHeight w:val="2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260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2FBE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882F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420E4E" w14:paraId="23071920" w14:textId="77777777">
        <w:trPr>
          <w:trHeight w:val="2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0230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C7AE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0253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420E4E" w14:paraId="27970146" w14:textId="77777777">
        <w:trPr>
          <w:trHeight w:val="2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9479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DA78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18BE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420E4E" w14:paraId="69B768E4" w14:textId="77777777">
        <w:trPr>
          <w:trHeight w:val="2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282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4B64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FFF6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420E4E" w14:paraId="20952B4B" w14:textId="77777777">
        <w:trPr>
          <w:trHeight w:val="2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DB94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940E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CE62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420E4E" w14:paraId="2DC50CED" w14:textId="77777777">
        <w:trPr>
          <w:trHeight w:val="2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DBD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721132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8FD5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A650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420E4E" w14:paraId="3B6E7195" w14:textId="77777777">
        <w:trPr>
          <w:trHeight w:val="1498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B8DACF9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31B43D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DC2B4D" w14:textId="77777777" w:rsidR="00420E4E" w:rsidRDefault="00420E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760A15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SCOPO</w:t>
            </w:r>
          </w:p>
        </w:tc>
        <w:tc>
          <w:tcPr>
            <w:tcW w:w="7568" w:type="dxa"/>
            <w:gridSpan w:val="4"/>
            <w:vAlign w:val="center"/>
          </w:tcPr>
          <w:p w14:paraId="2E6D8AB1" w14:textId="77777777" w:rsidR="00420E4E" w:rsidRDefault="00420E4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Definire i criteri da seguire nella gestione della lista d’attesa degli Ospiti </w:t>
            </w:r>
          </w:p>
        </w:tc>
      </w:tr>
      <w:tr w:rsidR="00420E4E" w14:paraId="3A2E8223" w14:textId="77777777">
        <w:trPr>
          <w:trHeight w:val="768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7082D55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BFE54E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CCA97D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CAMPO</w:t>
            </w:r>
          </w:p>
          <w:p w14:paraId="198F1D8B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 APPLICAZIONE</w:t>
            </w:r>
          </w:p>
          <w:p w14:paraId="226D1E29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68" w:type="dxa"/>
            <w:gridSpan w:val="4"/>
            <w:vAlign w:val="center"/>
          </w:tcPr>
          <w:p w14:paraId="4F2ADB5E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Tutti i servizi della Struttura </w:t>
            </w:r>
          </w:p>
        </w:tc>
      </w:tr>
      <w:tr w:rsidR="00420E4E" w14:paraId="4D664B4C" w14:textId="77777777" w:rsidTr="00E27E1B">
        <w:trPr>
          <w:trHeight w:val="726"/>
        </w:trPr>
        <w:tc>
          <w:tcPr>
            <w:tcW w:w="1800" w:type="dxa"/>
            <w:shd w:val="clear" w:color="auto" w:fill="auto"/>
          </w:tcPr>
          <w:p w14:paraId="25433C27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F6769EE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D57870E" w14:textId="77777777" w:rsidR="00420E4E" w:rsidRDefault="00420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RESPONSABILITA’</w:t>
            </w:r>
          </w:p>
        </w:tc>
        <w:tc>
          <w:tcPr>
            <w:tcW w:w="7568" w:type="dxa"/>
            <w:gridSpan w:val="4"/>
            <w:vAlign w:val="center"/>
          </w:tcPr>
          <w:p w14:paraId="01E51BC0" w14:textId="77777777" w:rsidR="00420E4E" w:rsidRDefault="00420E4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Responsabile di Struttura - Responsabile Sanitario </w:t>
            </w:r>
          </w:p>
        </w:tc>
      </w:tr>
      <w:tr w:rsidR="00E27E1B" w14:paraId="00F6C8A6" w14:textId="77777777" w:rsidTr="00275DC4">
        <w:trPr>
          <w:trHeight w:val="726"/>
        </w:trPr>
        <w:tc>
          <w:tcPr>
            <w:tcW w:w="93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130655" w14:textId="77777777" w:rsidR="00E27E1B" w:rsidRPr="00F25F81" w:rsidRDefault="00E27E1B" w:rsidP="00E27E1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25F8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Documento elaborato ed approvato dalla Equipe di Direzione</w:t>
            </w:r>
          </w:p>
          <w:p w14:paraId="66E6AA57" w14:textId="77777777" w:rsidR="00E27E1B" w:rsidRPr="00F25F81" w:rsidRDefault="00E27E1B" w:rsidP="00E27E1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3A21C60A" w14:textId="77777777" w:rsidR="00E27E1B" w:rsidRDefault="00E27E1B" w:rsidP="00E27E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B73FD4" w14:textId="77777777" w:rsidR="00E27E1B" w:rsidRPr="00F25F81" w:rsidRDefault="00E27E1B" w:rsidP="00E27E1B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F25F8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Il Presidente del </w:t>
            </w:r>
            <w:proofErr w:type="spellStart"/>
            <w:r w:rsidRPr="00F25F8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CdA</w:t>
            </w:r>
            <w:proofErr w:type="spellEnd"/>
            <w:r w:rsidRPr="00F25F8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Pr="00F25F8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ab/>
              <w:t>Il Direttore di Struttura</w:t>
            </w:r>
            <w:r w:rsidRPr="00F25F8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  </w:t>
            </w:r>
            <w:r w:rsidRPr="00F25F8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Il Direttore Sanitario</w:t>
            </w:r>
            <w:r w:rsidRPr="00F25F8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  </w:t>
            </w:r>
            <w:r w:rsidRPr="00F25F81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Il Coordinatore dei Servizi</w:t>
            </w:r>
          </w:p>
          <w:p w14:paraId="5D188BD2" w14:textId="77777777" w:rsidR="00E27E1B" w:rsidRPr="002A59B9" w:rsidRDefault="00E27E1B" w:rsidP="00E27E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Davide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Bernardello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                Silvia Traversi                        Michela Compiano                   Riccardo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Tineo</w:t>
            </w:r>
            <w:proofErr w:type="spellEnd"/>
          </w:p>
          <w:p w14:paraId="547AAAC9" w14:textId="77777777" w:rsidR="00E27E1B" w:rsidRDefault="00E27E1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68638571" w14:textId="77777777" w:rsidR="00420E4E" w:rsidRPr="00420E4E" w:rsidRDefault="00420E4E" w:rsidP="00420E4E">
      <w:pPr>
        <w:rPr>
          <w:vanish/>
        </w:rPr>
      </w:pPr>
    </w:p>
    <w:p w14:paraId="1BDB718F" w14:textId="77777777" w:rsidR="00420E4E" w:rsidRDefault="00420E4E">
      <w:pPr>
        <w:jc w:val="both"/>
      </w:pPr>
    </w:p>
    <w:p w14:paraId="4CA04308" w14:textId="77777777" w:rsidR="00420E4E" w:rsidRDefault="00420E4E">
      <w:pPr>
        <w:jc w:val="both"/>
      </w:pPr>
    </w:p>
    <w:p w14:paraId="3B3859B5" w14:textId="77777777" w:rsidR="00420E4E" w:rsidRDefault="00420E4E">
      <w:pPr>
        <w:jc w:val="both"/>
      </w:pPr>
    </w:p>
    <w:p w14:paraId="7BD63963" w14:textId="77777777" w:rsidR="00420E4E" w:rsidRDefault="00420E4E">
      <w:pPr>
        <w:jc w:val="both"/>
      </w:pPr>
    </w:p>
    <w:p w14:paraId="6464737D" w14:textId="77777777" w:rsidR="00420E4E" w:rsidRDefault="00420E4E">
      <w:pPr>
        <w:jc w:val="both"/>
      </w:pPr>
    </w:p>
    <w:p w14:paraId="7CAF6B3B" w14:textId="77777777" w:rsidR="00420E4E" w:rsidRDefault="00420E4E">
      <w:pPr>
        <w:jc w:val="both"/>
      </w:pPr>
    </w:p>
    <w:p w14:paraId="70B1BB0E" w14:textId="77777777" w:rsidR="00420E4E" w:rsidRDefault="00420E4E">
      <w:pPr>
        <w:jc w:val="both"/>
      </w:pPr>
    </w:p>
    <w:p w14:paraId="6D61F567" w14:textId="77777777" w:rsidR="00420E4E" w:rsidRDefault="00420E4E">
      <w:pPr>
        <w:jc w:val="both"/>
      </w:pPr>
    </w:p>
    <w:p w14:paraId="62107138" w14:textId="77777777" w:rsidR="007963D2" w:rsidRDefault="007963D2">
      <w:pPr>
        <w:jc w:val="center"/>
        <w:rPr>
          <w:rFonts w:ascii="Arial" w:hAnsi="Arial" w:cs="Arial"/>
          <w:b/>
          <w:i/>
          <w:color w:val="4F81BD"/>
          <w:sz w:val="28"/>
          <w:szCs w:val="28"/>
        </w:rPr>
      </w:pPr>
    </w:p>
    <w:p w14:paraId="2BD4547A" w14:textId="77777777" w:rsidR="008E2C10" w:rsidRPr="00ED4C38" w:rsidRDefault="007963D2">
      <w:pPr>
        <w:jc w:val="center"/>
        <w:rPr>
          <w:rFonts w:ascii="Arial" w:hAnsi="Arial" w:cs="Arial"/>
          <w:b/>
          <w:i/>
          <w:color w:val="4F81BD"/>
          <w:sz w:val="28"/>
          <w:szCs w:val="28"/>
          <w:u w:val="single"/>
        </w:rPr>
      </w:pPr>
      <w:r w:rsidRPr="00ED4C38">
        <w:rPr>
          <w:rFonts w:ascii="Arial" w:hAnsi="Arial" w:cs="Arial"/>
          <w:b/>
          <w:i/>
          <w:color w:val="4F81BD"/>
          <w:sz w:val="28"/>
          <w:szCs w:val="28"/>
          <w:u w:val="single"/>
        </w:rPr>
        <w:lastRenderedPageBreak/>
        <w:t>Inserimento Ospiti in Regime Residenziale</w:t>
      </w:r>
    </w:p>
    <w:p w14:paraId="0BB98BB7" w14:textId="77777777" w:rsidR="007963D2" w:rsidRPr="00ED4C38" w:rsidRDefault="007963D2">
      <w:pPr>
        <w:jc w:val="center"/>
        <w:rPr>
          <w:rFonts w:ascii="Arial" w:hAnsi="Arial" w:cs="Arial"/>
          <w:b/>
          <w:i/>
          <w:color w:val="4F81BD"/>
          <w:sz w:val="28"/>
          <w:szCs w:val="28"/>
          <w:u w:val="single"/>
        </w:rPr>
      </w:pPr>
    </w:p>
    <w:p w14:paraId="68319237" w14:textId="77777777" w:rsidR="00ED4C38" w:rsidRDefault="007963D2" w:rsidP="00ED4C38">
      <w:pPr>
        <w:jc w:val="both"/>
        <w:rPr>
          <w:rFonts w:ascii="Arial" w:hAnsi="Arial" w:cs="Arial"/>
          <w:szCs w:val="32"/>
        </w:rPr>
      </w:pPr>
      <w:r w:rsidRPr="00ED4C38">
        <w:rPr>
          <w:rFonts w:ascii="Arial" w:hAnsi="Arial" w:cs="Arial"/>
          <w:szCs w:val="32"/>
        </w:rPr>
        <w:t xml:space="preserve">L’inserimento degli Ospiti in regime residenziale prevede due tipologie: </w:t>
      </w:r>
    </w:p>
    <w:p w14:paraId="50C344A9" w14:textId="77777777" w:rsidR="00ED4C38" w:rsidRDefault="00ED4C38" w:rsidP="00ED4C38">
      <w:pPr>
        <w:numPr>
          <w:ilvl w:val="0"/>
          <w:numId w:val="10"/>
        </w:numPr>
        <w:jc w:val="both"/>
        <w:rPr>
          <w:rFonts w:ascii="Arial" w:hAnsi="Arial" w:cs="Arial"/>
          <w:szCs w:val="32"/>
        </w:rPr>
      </w:pPr>
      <w:r w:rsidRPr="00ED4C38">
        <w:rPr>
          <w:rFonts w:ascii="Arial" w:hAnsi="Arial" w:cs="Arial"/>
          <w:szCs w:val="32"/>
        </w:rPr>
        <w:t>il regime convenzionato (</w:t>
      </w:r>
      <w:r>
        <w:rPr>
          <w:rFonts w:ascii="Arial" w:hAnsi="Arial" w:cs="Arial"/>
          <w:szCs w:val="32"/>
        </w:rPr>
        <w:t>con la compartecipazione alla spesa sanitaria da parte del Sistema Sanitario);</w:t>
      </w:r>
    </w:p>
    <w:p w14:paraId="6E2DEAD2" w14:textId="77777777" w:rsidR="007963D2" w:rsidRDefault="00ED4C38" w:rsidP="00ED4C38">
      <w:pPr>
        <w:numPr>
          <w:ilvl w:val="0"/>
          <w:numId w:val="10"/>
        </w:num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il regime privato (con retta a totale carico dell’ospite).</w:t>
      </w:r>
      <w:r w:rsidRPr="00ED4C38">
        <w:rPr>
          <w:rFonts w:ascii="Arial" w:hAnsi="Arial" w:cs="Arial"/>
          <w:szCs w:val="32"/>
        </w:rPr>
        <w:t xml:space="preserve"> </w:t>
      </w:r>
    </w:p>
    <w:p w14:paraId="72967BEA" w14:textId="77777777" w:rsidR="00ED4C38" w:rsidRDefault="00ED4C38">
      <w:pPr>
        <w:jc w:val="center"/>
        <w:rPr>
          <w:rFonts w:ascii="Arial" w:hAnsi="Arial" w:cs="Arial"/>
          <w:b/>
          <w:i/>
          <w:color w:val="4F81BD"/>
          <w:sz w:val="28"/>
          <w:szCs w:val="28"/>
        </w:rPr>
      </w:pPr>
    </w:p>
    <w:p w14:paraId="121CA324" w14:textId="77777777" w:rsidR="00420E4E" w:rsidRDefault="00420E4E" w:rsidP="00ED4C38">
      <w:pPr>
        <w:numPr>
          <w:ilvl w:val="0"/>
          <w:numId w:val="11"/>
        </w:numPr>
        <w:jc w:val="center"/>
        <w:rPr>
          <w:rFonts w:ascii="Arial" w:hAnsi="Arial" w:cs="Arial"/>
          <w:b/>
          <w:i/>
          <w:color w:val="4F81BD"/>
          <w:sz w:val="28"/>
          <w:szCs w:val="28"/>
        </w:rPr>
      </w:pPr>
      <w:r>
        <w:rPr>
          <w:rFonts w:ascii="Arial" w:hAnsi="Arial" w:cs="Arial"/>
          <w:b/>
          <w:i/>
          <w:color w:val="4F81BD"/>
          <w:sz w:val="28"/>
          <w:szCs w:val="28"/>
        </w:rPr>
        <w:t>Procedura G</w:t>
      </w:r>
      <w:r w:rsidR="00751152">
        <w:rPr>
          <w:rFonts w:ascii="Arial" w:hAnsi="Arial" w:cs="Arial"/>
          <w:b/>
          <w:i/>
          <w:color w:val="4F81BD"/>
          <w:sz w:val="28"/>
          <w:szCs w:val="28"/>
        </w:rPr>
        <w:t xml:space="preserve">estione Lista di Attesa Ospiti </w:t>
      </w:r>
      <w:r>
        <w:rPr>
          <w:rFonts w:ascii="Arial" w:hAnsi="Arial" w:cs="Arial"/>
          <w:b/>
          <w:i/>
          <w:color w:val="4F81BD"/>
          <w:sz w:val="28"/>
          <w:szCs w:val="28"/>
        </w:rPr>
        <w:t xml:space="preserve">Residenziali </w:t>
      </w:r>
    </w:p>
    <w:p w14:paraId="6FAB5B8A" w14:textId="0766A32F" w:rsidR="00420E4E" w:rsidRDefault="0066709F" w:rsidP="0066709F">
      <w:pPr>
        <w:jc w:val="center"/>
        <w:rPr>
          <w:rFonts w:ascii="Arial" w:hAnsi="Arial" w:cs="Arial"/>
          <w:b/>
          <w:i/>
          <w:color w:val="4F81BD"/>
          <w:sz w:val="28"/>
          <w:szCs w:val="28"/>
        </w:rPr>
      </w:pPr>
      <w:r>
        <w:rPr>
          <w:rFonts w:ascii="Arial" w:hAnsi="Arial" w:cs="Arial"/>
          <w:b/>
          <w:i/>
          <w:color w:val="4F81BD"/>
          <w:sz w:val="28"/>
          <w:szCs w:val="28"/>
        </w:rPr>
        <w:t>i</w:t>
      </w:r>
      <w:r w:rsidR="00751152">
        <w:rPr>
          <w:rFonts w:ascii="Arial" w:hAnsi="Arial" w:cs="Arial"/>
          <w:b/>
          <w:i/>
          <w:color w:val="4F81BD"/>
          <w:sz w:val="28"/>
          <w:szCs w:val="28"/>
        </w:rPr>
        <w:t xml:space="preserve">n </w:t>
      </w:r>
      <w:r w:rsidR="00420E4E">
        <w:rPr>
          <w:rFonts w:ascii="Arial" w:hAnsi="Arial" w:cs="Arial"/>
          <w:b/>
          <w:i/>
          <w:color w:val="4F81BD"/>
          <w:sz w:val="28"/>
          <w:szCs w:val="28"/>
        </w:rPr>
        <w:t>regime di Convenzionamento</w:t>
      </w:r>
    </w:p>
    <w:p w14:paraId="1BE3B791" w14:textId="77777777" w:rsidR="00420E4E" w:rsidRDefault="00420E4E">
      <w:pPr>
        <w:ind w:left="360"/>
        <w:jc w:val="center"/>
        <w:rPr>
          <w:rFonts w:ascii="Arial" w:hAnsi="Arial" w:cs="Arial"/>
          <w:szCs w:val="32"/>
        </w:rPr>
      </w:pPr>
    </w:p>
    <w:p w14:paraId="0A060807" w14:textId="77777777" w:rsidR="0066709F" w:rsidRPr="0066709F" w:rsidRDefault="00420E4E">
      <w:pPr>
        <w:jc w:val="both"/>
        <w:rPr>
          <w:rFonts w:ascii="Arial" w:hAnsi="Arial" w:cs="Arial"/>
          <w:sz w:val="23"/>
          <w:szCs w:val="23"/>
        </w:rPr>
      </w:pPr>
      <w:r w:rsidRPr="0066709F">
        <w:rPr>
          <w:rFonts w:ascii="Arial" w:hAnsi="Arial" w:cs="Arial"/>
          <w:sz w:val="23"/>
          <w:szCs w:val="23"/>
        </w:rPr>
        <w:t xml:space="preserve">Per quanto </w:t>
      </w:r>
      <w:r w:rsidR="0066709F">
        <w:rPr>
          <w:rFonts w:ascii="Arial" w:hAnsi="Arial" w:cs="Arial"/>
          <w:sz w:val="23"/>
          <w:szCs w:val="23"/>
        </w:rPr>
        <w:t xml:space="preserve">riguarda </w:t>
      </w:r>
      <w:r w:rsidRPr="0066709F">
        <w:rPr>
          <w:rFonts w:ascii="Arial" w:hAnsi="Arial" w:cs="Arial"/>
          <w:sz w:val="23"/>
          <w:szCs w:val="23"/>
        </w:rPr>
        <w:t xml:space="preserve">gli Ospiti convenzionati la lista d’attesa non è gestita dalla Struttura ma è di competenza dei Servizi Distrettuali Sanitari e Sociali.  </w:t>
      </w:r>
    </w:p>
    <w:p w14:paraId="246E998F" w14:textId="77777777" w:rsidR="001D4165" w:rsidRDefault="001D4165">
      <w:pPr>
        <w:jc w:val="both"/>
        <w:rPr>
          <w:rFonts w:ascii="Arial" w:hAnsi="Arial" w:cs="Arial"/>
          <w:sz w:val="23"/>
          <w:szCs w:val="23"/>
        </w:rPr>
      </w:pPr>
    </w:p>
    <w:p w14:paraId="4205D273" w14:textId="77777777" w:rsidR="00420E4E" w:rsidRDefault="001D416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Nel momento in cui si rende disponibile un posto </w:t>
      </w:r>
      <w:r w:rsidR="00420E4E" w:rsidRPr="0066709F">
        <w:rPr>
          <w:rFonts w:ascii="Arial" w:hAnsi="Arial" w:cs="Arial"/>
          <w:sz w:val="23"/>
          <w:szCs w:val="23"/>
        </w:rPr>
        <w:t>convenzionat</w:t>
      </w:r>
      <w:r>
        <w:rPr>
          <w:rFonts w:ascii="Arial" w:hAnsi="Arial" w:cs="Arial"/>
          <w:sz w:val="23"/>
          <w:szCs w:val="23"/>
        </w:rPr>
        <w:t>o (a seguito di dimissioni volontarie o decesso)</w:t>
      </w:r>
      <w:r w:rsidR="00420E4E" w:rsidRPr="0066709F">
        <w:rPr>
          <w:rFonts w:ascii="Arial" w:hAnsi="Arial" w:cs="Arial"/>
          <w:sz w:val="23"/>
          <w:szCs w:val="23"/>
        </w:rPr>
        <w:t xml:space="preserve"> l’Ufficio Amministrativo effettua la comunicazione ai Servizi Distrettuali Sanitari e Sociali che provvedono a comunicare il nominativo dell’anziano individuato</w:t>
      </w:r>
      <w:r w:rsidR="006C016F">
        <w:rPr>
          <w:rFonts w:ascii="Arial" w:hAnsi="Arial" w:cs="Arial"/>
          <w:sz w:val="23"/>
          <w:szCs w:val="23"/>
        </w:rPr>
        <w:t xml:space="preserve"> per l’inserimento.  </w:t>
      </w:r>
      <w:r w:rsidR="00420E4E" w:rsidRPr="0066709F">
        <w:rPr>
          <w:rFonts w:ascii="Arial" w:hAnsi="Arial" w:cs="Arial"/>
          <w:sz w:val="23"/>
          <w:szCs w:val="23"/>
        </w:rPr>
        <w:t xml:space="preserve">Dopo tale comunicazione </w:t>
      </w:r>
      <w:r w:rsidR="006C016F">
        <w:rPr>
          <w:rFonts w:ascii="Arial" w:hAnsi="Arial" w:cs="Arial"/>
          <w:sz w:val="23"/>
          <w:szCs w:val="23"/>
        </w:rPr>
        <w:t xml:space="preserve">la Struttura </w:t>
      </w:r>
      <w:r w:rsidR="00420E4E" w:rsidRPr="0066709F">
        <w:rPr>
          <w:rFonts w:ascii="Arial" w:hAnsi="Arial" w:cs="Arial"/>
          <w:sz w:val="23"/>
          <w:szCs w:val="23"/>
        </w:rPr>
        <w:t>applica la procedura per l’accoglienza dell’Ospite (</w:t>
      </w:r>
      <w:r w:rsidR="00E02FCF" w:rsidRPr="0066709F">
        <w:rPr>
          <w:rFonts w:ascii="Arial" w:hAnsi="Arial" w:cs="Arial"/>
          <w:b/>
          <w:i/>
          <w:color w:val="365F91"/>
          <w:sz w:val="23"/>
          <w:szCs w:val="23"/>
        </w:rPr>
        <w:t>PR</w:t>
      </w:r>
      <w:r w:rsidR="008563D6" w:rsidRPr="0066709F">
        <w:rPr>
          <w:rFonts w:ascii="Arial" w:hAnsi="Arial" w:cs="Arial"/>
          <w:b/>
          <w:i/>
          <w:color w:val="365F91"/>
          <w:sz w:val="23"/>
          <w:szCs w:val="23"/>
        </w:rPr>
        <w:t xml:space="preserve"> DG </w:t>
      </w:r>
      <w:r w:rsidR="00420E4E" w:rsidRPr="0066709F">
        <w:rPr>
          <w:rFonts w:ascii="Arial" w:hAnsi="Arial" w:cs="Arial"/>
          <w:b/>
          <w:i/>
          <w:color w:val="365F91"/>
          <w:sz w:val="23"/>
          <w:szCs w:val="23"/>
        </w:rPr>
        <w:t>004</w:t>
      </w:r>
      <w:r w:rsidR="00420E4E" w:rsidRPr="0066709F">
        <w:rPr>
          <w:rFonts w:ascii="Arial" w:hAnsi="Arial" w:cs="Arial"/>
          <w:b/>
          <w:sz w:val="23"/>
          <w:szCs w:val="23"/>
        </w:rPr>
        <w:t xml:space="preserve">).  </w:t>
      </w:r>
    </w:p>
    <w:p w14:paraId="746754E6" w14:textId="77777777" w:rsidR="006C016F" w:rsidRPr="0066709F" w:rsidRDefault="006C016F">
      <w:pPr>
        <w:jc w:val="both"/>
        <w:rPr>
          <w:rFonts w:ascii="Arial" w:hAnsi="Arial" w:cs="Arial"/>
          <w:b/>
          <w:sz w:val="23"/>
          <w:szCs w:val="23"/>
        </w:rPr>
      </w:pPr>
    </w:p>
    <w:p w14:paraId="3B30F491" w14:textId="77777777" w:rsidR="0066709F" w:rsidRPr="0066709F" w:rsidRDefault="0066709F">
      <w:pPr>
        <w:jc w:val="both"/>
        <w:rPr>
          <w:rFonts w:ascii="Arial" w:hAnsi="Arial" w:cs="Arial"/>
          <w:sz w:val="23"/>
          <w:szCs w:val="23"/>
        </w:rPr>
      </w:pPr>
      <w:r w:rsidRPr="0066709F">
        <w:rPr>
          <w:rFonts w:ascii="Arial" w:hAnsi="Arial" w:cs="Arial"/>
          <w:sz w:val="23"/>
          <w:szCs w:val="23"/>
          <w:u w:val="single"/>
        </w:rPr>
        <w:t>I tempi di attesa</w:t>
      </w:r>
      <w:r w:rsidRPr="0066709F">
        <w:rPr>
          <w:rFonts w:ascii="Arial" w:hAnsi="Arial" w:cs="Arial"/>
          <w:sz w:val="23"/>
          <w:szCs w:val="23"/>
        </w:rPr>
        <w:t xml:space="preserve"> non sono definibili in quanto dipendenti da cause esterne all’organizzazione (dimissioni volontarie/decesso degli ospiti</w:t>
      </w:r>
      <w:r w:rsidR="006C016F">
        <w:rPr>
          <w:rFonts w:ascii="Arial" w:hAnsi="Arial" w:cs="Arial"/>
          <w:sz w:val="23"/>
          <w:szCs w:val="23"/>
        </w:rPr>
        <w:t>/rinuncia al posto</w:t>
      </w:r>
      <w:r w:rsidRPr="0066709F">
        <w:rPr>
          <w:rFonts w:ascii="Arial" w:hAnsi="Arial" w:cs="Arial"/>
          <w:sz w:val="23"/>
          <w:szCs w:val="23"/>
        </w:rPr>
        <w:t>).</w:t>
      </w:r>
    </w:p>
    <w:p w14:paraId="60231FA3" w14:textId="77777777" w:rsidR="00420E4E" w:rsidRDefault="00420E4E">
      <w:pPr>
        <w:jc w:val="both"/>
        <w:rPr>
          <w:rFonts w:ascii="Arial" w:hAnsi="Arial" w:cs="Arial"/>
          <w:szCs w:val="32"/>
        </w:rPr>
      </w:pPr>
    </w:p>
    <w:p w14:paraId="3E819C90" w14:textId="77777777" w:rsidR="007963D2" w:rsidRPr="0066709F" w:rsidRDefault="007963D2">
      <w:pPr>
        <w:jc w:val="both"/>
        <w:rPr>
          <w:rFonts w:ascii="Arial" w:hAnsi="Arial" w:cs="Arial"/>
          <w:szCs w:val="32"/>
        </w:rPr>
      </w:pPr>
    </w:p>
    <w:p w14:paraId="0D600CD1" w14:textId="77777777" w:rsidR="00420E4E" w:rsidRDefault="00420E4E" w:rsidP="00ED4C38">
      <w:pPr>
        <w:numPr>
          <w:ilvl w:val="0"/>
          <w:numId w:val="11"/>
        </w:numPr>
        <w:jc w:val="center"/>
        <w:rPr>
          <w:rFonts w:ascii="Arial" w:hAnsi="Arial" w:cs="Arial"/>
          <w:b/>
          <w:i/>
          <w:color w:val="4F81BD"/>
          <w:sz w:val="28"/>
          <w:szCs w:val="28"/>
        </w:rPr>
      </w:pPr>
      <w:r>
        <w:rPr>
          <w:rFonts w:ascii="Arial" w:hAnsi="Arial" w:cs="Arial"/>
          <w:b/>
          <w:i/>
          <w:color w:val="4F81BD"/>
          <w:sz w:val="28"/>
          <w:szCs w:val="28"/>
        </w:rPr>
        <w:t>Procedura G</w:t>
      </w:r>
      <w:r w:rsidR="00E02FCF">
        <w:rPr>
          <w:rFonts w:ascii="Arial" w:hAnsi="Arial" w:cs="Arial"/>
          <w:b/>
          <w:i/>
          <w:color w:val="4F81BD"/>
          <w:sz w:val="28"/>
          <w:szCs w:val="28"/>
        </w:rPr>
        <w:t xml:space="preserve">estione Lista di Attesa Ospiti </w:t>
      </w:r>
      <w:r>
        <w:rPr>
          <w:rFonts w:ascii="Arial" w:hAnsi="Arial" w:cs="Arial"/>
          <w:b/>
          <w:i/>
          <w:color w:val="4F81BD"/>
          <w:sz w:val="28"/>
          <w:szCs w:val="28"/>
        </w:rPr>
        <w:t xml:space="preserve">Residenziali </w:t>
      </w:r>
    </w:p>
    <w:p w14:paraId="38D872DC" w14:textId="77777777" w:rsidR="00420E4E" w:rsidRDefault="00420E4E">
      <w:pPr>
        <w:jc w:val="center"/>
        <w:rPr>
          <w:rFonts w:ascii="Arial" w:hAnsi="Arial" w:cs="Arial"/>
          <w:b/>
          <w:i/>
          <w:color w:val="4F81BD"/>
          <w:sz w:val="28"/>
          <w:szCs w:val="28"/>
        </w:rPr>
      </w:pPr>
      <w:r>
        <w:rPr>
          <w:rFonts w:ascii="Arial" w:hAnsi="Arial" w:cs="Arial"/>
          <w:b/>
          <w:i/>
          <w:color w:val="4F81BD"/>
          <w:sz w:val="28"/>
          <w:szCs w:val="28"/>
        </w:rPr>
        <w:t>in regime Privato.</w:t>
      </w:r>
    </w:p>
    <w:p w14:paraId="62BB3FF5" w14:textId="77777777" w:rsidR="00420E4E" w:rsidRDefault="00420E4E">
      <w:pPr>
        <w:jc w:val="center"/>
        <w:rPr>
          <w:rFonts w:ascii="Arial" w:hAnsi="Arial" w:cs="Arial"/>
          <w:b/>
          <w:i/>
          <w:color w:val="4F81BD"/>
          <w:sz w:val="28"/>
          <w:szCs w:val="28"/>
        </w:rPr>
      </w:pPr>
    </w:p>
    <w:p w14:paraId="44917245" w14:textId="77777777" w:rsidR="00420E4E" w:rsidRPr="0066709F" w:rsidRDefault="00420E4E">
      <w:pPr>
        <w:jc w:val="both"/>
        <w:rPr>
          <w:rFonts w:ascii="Arial" w:hAnsi="Arial" w:cs="Arial"/>
          <w:sz w:val="23"/>
          <w:szCs w:val="23"/>
        </w:rPr>
      </w:pPr>
      <w:r w:rsidRPr="0066709F">
        <w:rPr>
          <w:rFonts w:ascii="Arial" w:hAnsi="Arial" w:cs="Arial"/>
          <w:sz w:val="23"/>
          <w:szCs w:val="23"/>
        </w:rPr>
        <w:t xml:space="preserve">La lista d’attesa degli Ospiti in regime privato è gestita dalla Struttura. Le richieste vengono </w:t>
      </w:r>
      <w:r w:rsidR="00E02FCF" w:rsidRPr="0066709F">
        <w:rPr>
          <w:rFonts w:ascii="Arial" w:hAnsi="Arial" w:cs="Arial"/>
          <w:sz w:val="23"/>
          <w:szCs w:val="23"/>
        </w:rPr>
        <w:t>fatte compilare su apposito modulo (</w:t>
      </w:r>
      <w:r w:rsidR="00E02FCF" w:rsidRPr="0066709F">
        <w:rPr>
          <w:rFonts w:ascii="Arial" w:hAnsi="Arial" w:cs="Arial"/>
          <w:b/>
          <w:i/>
          <w:color w:val="365F91"/>
          <w:sz w:val="23"/>
          <w:szCs w:val="23"/>
        </w:rPr>
        <w:t>MOD GE 061</w:t>
      </w:r>
      <w:r w:rsidR="00E02FCF" w:rsidRPr="0066709F">
        <w:rPr>
          <w:rFonts w:ascii="Arial" w:hAnsi="Arial" w:cs="Arial"/>
          <w:sz w:val="23"/>
          <w:szCs w:val="23"/>
        </w:rPr>
        <w:t xml:space="preserve">) ed </w:t>
      </w:r>
      <w:r w:rsidRPr="0066709F">
        <w:rPr>
          <w:rFonts w:ascii="Arial" w:hAnsi="Arial" w:cs="Arial"/>
          <w:sz w:val="23"/>
          <w:szCs w:val="23"/>
        </w:rPr>
        <w:t>inserite in ordine cronologico nell’apposito modulo (</w:t>
      </w:r>
      <w:r w:rsidRPr="0066709F">
        <w:rPr>
          <w:rFonts w:ascii="Arial" w:hAnsi="Arial" w:cs="Arial"/>
          <w:b/>
          <w:i/>
          <w:color w:val="365F91"/>
          <w:sz w:val="23"/>
          <w:szCs w:val="23"/>
        </w:rPr>
        <w:t>MOD GE 054</w:t>
      </w:r>
      <w:r w:rsidRPr="0066709F">
        <w:rPr>
          <w:rFonts w:ascii="Arial" w:hAnsi="Arial" w:cs="Arial"/>
          <w:sz w:val="23"/>
          <w:szCs w:val="23"/>
        </w:rPr>
        <w:t xml:space="preserve">). </w:t>
      </w:r>
    </w:p>
    <w:p w14:paraId="1AD999DC" w14:textId="77777777" w:rsidR="001D4165" w:rsidRDefault="001D4165">
      <w:pPr>
        <w:jc w:val="both"/>
        <w:rPr>
          <w:rFonts w:ascii="Arial" w:hAnsi="Arial" w:cs="Arial"/>
          <w:sz w:val="23"/>
          <w:szCs w:val="23"/>
        </w:rPr>
      </w:pPr>
    </w:p>
    <w:p w14:paraId="28F049C4" w14:textId="77777777" w:rsidR="00420E4E" w:rsidRPr="0066709F" w:rsidRDefault="00420E4E">
      <w:pPr>
        <w:jc w:val="both"/>
        <w:rPr>
          <w:rFonts w:ascii="Arial" w:hAnsi="Arial" w:cs="Arial"/>
          <w:sz w:val="23"/>
          <w:szCs w:val="23"/>
        </w:rPr>
      </w:pPr>
      <w:r w:rsidRPr="0066709F">
        <w:rPr>
          <w:rFonts w:ascii="Arial" w:hAnsi="Arial" w:cs="Arial"/>
          <w:sz w:val="23"/>
          <w:szCs w:val="23"/>
        </w:rPr>
        <w:t>In caso di disponibilità di posti privati si provvede a contattare</w:t>
      </w:r>
      <w:r w:rsidR="001D4165">
        <w:rPr>
          <w:rFonts w:ascii="Arial" w:hAnsi="Arial" w:cs="Arial"/>
          <w:sz w:val="23"/>
          <w:szCs w:val="23"/>
        </w:rPr>
        <w:t xml:space="preserve"> </w:t>
      </w:r>
      <w:r w:rsidRPr="0066709F">
        <w:rPr>
          <w:rFonts w:ascii="Arial" w:hAnsi="Arial" w:cs="Arial"/>
          <w:sz w:val="23"/>
          <w:szCs w:val="23"/>
        </w:rPr>
        <w:t>i familiari referenti delle persone inserite nell’elenco</w:t>
      </w:r>
      <w:r w:rsidR="006C016F">
        <w:rPr>
          <w:rFonts w:ascii="Arial" w:hAnsi="Arial" w:cs="Arial"/>
          <w:sz w:val="23"/>
          <w:szCs w:val="23"/>
        </w:rPr>
        <w:t xml:space="preserve"> seguendo l’ordine cronologico delle richieste.  </w:t>
      </w:r>
      <w:r w:rsidRPr="0066709F">
        <w:rPr>
          <w:rFonts w:ascii="Arial" w:hAnsi="Arial" w:cs="Arial"/>
          <w:sz w:val="23"/>
          <w:szCs w:val="23"/>
        </w:rPr>
        <w:t xml:space="preserve">In caso di risposta affermativa </w:t>
      </w:r>
      <w:r w:rsidR="006C016F">
        <w:rPr>
          <w:rFonts w:ascii="Arial" w:hAnsi="Arial" w:cs="Arial"/>
          <w:sz w:val="23"/>
          <w:szCs w:val="23"/>
        </w:rPr>
        <w:t xml:space="preserve">alla proposta di ingresso </w:t>
      </w:r>
      <w:r w:rsidRPr="0066709F">
        <w:rPr>
          <w:rFonts w:ascii="Arial" w:hAnsi="Arial" w:cs="Arial"/>
          <w:sz w:val="23"/>
          <w:szCs w:val="23"/>
        </w:rPr>
        <w:t>si applica la procedura per l’accoglienza dell’Ospite (</w:t>
      </w:r>
      <w:r w:rsidR="00E02FCF" w:rsidRPr="0066709F">
        <w:rPr>
          <w:rFonts w:ascii="Arial" w:hAnsi="Arial" w:cs="Arial"/>
          <w:b/>
          <w:i/>
          <w:color w:val="365F91"/>
          <w:sz w:val="23"/>
          <w:szCs w:val="23"/>
        </w:rPr>
        <w:t xml:space="preserve">PR DG </w:t>
      </w:r>
      <w:r w:rsidRPr="0066709F">
        <w:rPr>
          <w:rFonts w:ascii="Arial" w:hAnsi="Arial" w:cs="Arial"/>
          <w:b/>
          <w:i/>
          <w:color w:val="365F91"/>
          <w:sz w:val="23"/>
          <w:szCs w:val="23"/>
        </w:rPr>
        <w:t>004</w:t>
      </w:r>
      <w:r w:rsidRPr="0066709F">
        <w:rPr>
          <w:rFonts w:ascii="Arial" w:hAnsi="Arial" w:cs="Arial"/>
          <w:sz w:val="23"/>
          <w:szCs w:val="23"/>
        </w:rPr>
        <w:t xml:space="preserve">). </w:t>
      </w:r>
      <w:r w:rsidR="0079711B" w:rsidRPr="0066709F">
        <w:rPr>
          <w:rFonts w:ascii="Arial" w:hAnsi="Arial" w:cs="Arial"/>
          <w:sz w:val="23"/>
          <w:szCs w:val="23"/>
        </w:rPr>
        <w:t>In caso di risposta negativa si</w:t>
      </w:r>
      <w:r w:rsidRPr="0066709F">
        <w:rPr>
          <w:rFonts w:ascii="Arial" w:hAnsi="Arial" w:cs="Arial"/>
          <w:sz w:val="23"/>
          <w:szCs w:val="23"/>
        </w:rPr>
        <w:t xml:space="preserve"> inserisce il dato nel modulo</w:t>
      </w:r>
      <w:r w:rsidR="00E02FCF" w:rsidRPr="0066709F">
        <w:rPr>
          <w:rFonts w:ascii="Arial" w:hAnsi="Arial" w:cs="Arial"/>
          <w:sz w:val="23"/>
          <w:szCs w:val="23"/>
        </w:rPr>
        <w:t xml:space="preserve"> (</w:t>
      </w:r>
      <w:r w:rsidR="00E02FCF" w:rsidRPr="0066709F">
        <w:rPr>
          <w:rFonts w:ascii="Arial" w:hAnsi="Arial" w:cs="Arial"/>
          <w:b/>
          <w:i/>
          <w:color w:val="2E74B5"/>
          <w:sz w:val="23"/>
          <w:szCs w:val="23"/>
        </w:rPr>
        <w:t>MOD GE 054</w:t>
      </w:r>
      <w:r w:rsidR="00E02FCF" w:rsidRPr="0066709F">
        <w:rPr>
          <w:rFonts w:ascii="Arial" w:hAnsi="Arial" w:cs="Arial"/>
          <w:sz w:val="23"/>
          <w:szCs w:val="23"/>
        </w:rPr>
        <w:t>)</w:t>
      </w:r>
      <w:r w:rsidRPr="0066709F">
        <w:rPr>
          <w:rFonts w:ascii="Arial" w:hAnsi="Arial" w:cs="Arial"/>
          <w:sz w:val="23"/>
          <w:szCs w:val="23"/>
        </w:rPr>
        <w:t xml:space="preserve"> nella sezione “Note” e si procede a contattare il nominativo successivo. </w:t>
      </w:r>
    </w:p>
    <w:p w14:paraId="254AAA90" w14:textId="77777777" w:rsidR="001D4165" w:rsidRDefault="001D4165" w:rsidP="0066709F">
      <w:pPr>
        <w:jc w:val="both"/>
        <w:rPr>
          <w:rFonts w:ascii="Arial" w:hAnsi="Arial" w:cs="Arial"/>
          <w:sz w:val="23"/>
          <w:szCs w:val="23"/>
          <w:u w:val="single"/>
        </w:rPr>
      </w:pPr>
    </w:p>
    <w:p w14:paraId="3C7E1F4B" w14:textId="77777777" w:rsidR="0066709F" w:rsidRPr="0066709F" w:rsidRDefault="0066709F" w:rsidP="0066709F">
      <w:pPr>
        <w:jc w:val="both"/>
        <w:rPr>
          <w:rFonts w:ascii="Arial" w:hAnsi="Arial" w:cs="Arial"/>
          <w:sz w:val="23"/>
          <w:szCs w:val="23"/>
        </w:rPr>
      </w:pPr>
      <w:r w:rsidRPr="0066709F">
        <w:rPr>
          <w:rFonts w:ascii="Arial" w:hAnsi="Arial" w:cs="Arial"/>
          <w:sz w:val="23"/>
          <w:szCs w:val="23"/>
          <w:u w:val="single"/>
        </w:rPr>
        <w:t>I tempi di attesa</w:t>
      </w:r>
      <w:r w:rsidRPr="0066709F">
        <w:rPr>
          <w:rFonts w:ascii="Arial" w:hAnsi="Arial" w:cs="Arial"/>
          <w:sz w:val="23"/>
          <w:szCs w:val="23"/>
        </w:rPr>
        <w:t xml:space="preserve"> non sono definibili in quanto dipendenti da cause esterne all’organizzazione (dimissioni volontarie/decesso degli ospiti</w:t>
      </w:r>
      <w:r w:rsidR="006C016F">
        <w:rPr>
          <w:rFonts w:ascii="Arial" w:hAnsi="Arial" w:cs="Arial"/>
          <w:sz w:val="23"/>
          <w:szCs w:val="23"/>
        </w:rPr>
        <w:t>/rinuncia al posto</w:t>
      </w:r>
      <w:r w:rsidRPr="0066709F">
        <w:rPr>
          <w:rFonts w:ascii="Arial" w:hAnsi="Arial" w:cs="Arial"/>
          <w:sz w:val="23"/>
          <w:szCs w:val="23"/>
        </w:rPr>
        <w:t>).</w:t>
      </w:r>
    </w:p>
    <w:p w14:paraId="4D8356F0" w14:textId="77777777" w:rsidR="00420E4E" w:rsidRDefault="00420E4E">
      <w:pPr>
        <w:jc w:val="both"/>
        <w:rPr>
          <w:rFonts w:ascii="Arial" w:hAnsi="Arial" w:cs="Arial"/>
          <w:szCs w:val="32"/>
        </w:rPr>
      </w:pPr>
    </w:p>
    <w:p w14:paraId="42AB1519" w14:textId="77777777" w:rsidR="00ED4C38" w:rsidRDefault="00ED4C38">
      <w:pPr>
        <w:jc w:val="center"/>
        <w:rPr>
          <w:rFonts w:ascii="Arial" w:hAnsi="Arial" w:cs="Arial"/>
          <w:b/>
          <w:i/>
          <w:color w:val="4F81BD"/>
          <w:sz w:val="28"/>
          <w:szCs w:val="28"/>
        </w:rPr>
      </w:pPr>
    </w:p>
    <w:p w14:paraId="385526BD" w14:textId="77777777" w:rsidR="00ED4C38" w:rsidRDefault="00ED4C38">
      <w:pPr>
        <w:jc w:val="center"/>
        <w:rPr>
          <w:rFonts w:ascii="Arial" w:hAnsi="Arial" w:cs="Arial"/>
          <w:b/>
          <w:i/>
          <w:color w:val="4F81BD"/>
          <w:sz w:val="28"/>
          <w:szCs w:val="28"/>
        </w:rPr>
      </w:pPr>
    </w:p>
    <w:p w14:paraId="35BC0584" w14:textId="77777777" w:rsidR="00ED4C38" w:rsidRDefault="00ED4C38">
      <w:pPr>
        <w:jc w:val="center"/>
        <w:rPr>
          <w:rFonts w:ascii="Arial" w:hAnsi="Arial" w:cs="Arial"/>
          <w:b/>
          <w:i/>
          <w:color w:val="4F81BD"/>
          <w:sz w:val="28"/>
          <w:szCs w:val="28"/>
        </w:rPr>
      </w:pPr>
    </w:p>
    <w:p w14:paraId="092C5F2A" w14:textId="77777777" w:rsidR="00ED4C38" w:rsidRDefault="00ED4C38">
      <w:pPr>
        <w:jc w:val="center"/>
        <w:rPr>
          <w:rFonts w:ascii="Arial" w:hAnsi="Arial" w:cs="Arial"/>
          <w:b/>
          <w:i/>
          <w:color w:val="4F81BD"/>
          <w:sz w:val="28"/>
          <w:szCs w:val="28"/>
        </w:rPr>
      </w:pPr>
    </w:p>
    <w:p w14:paraId="064B894E" w14:textId="77777777" w:rsidR="00ED4C38" w:rsidRDefault="00ED4C38">
      <w:pPr>
        <w:jc w:val="center"/>
        <w:rPr>
          <w:rFonts w:ascii="Arial" w:hAnsi="Arial" w:cs="Arial"/>
          <w:b/>
          <w:i/>
          <w:color w:val="4F81BD"/>
          <w:sz w:val="28"/>
          <w:szCs w:val="28"/>
        </w:rPr>
      </w:pPr>
    </w:p>
    <w:p w14:paraId="1ADF2DE9" w14:textId="77777777" w:rsidR="00ED4C38" w:rsidRDefault="00ED4C38">
      <w:pPr>
        <w:jc w:val="center"/>
        <w:rPr>
          <w:rFonts w:ascii="Arial" w:hAnsi="Arial" w:cs="Arial"/>
          <w:b/>
          <w:i/>
          <w:color w:val="4F81BD"/>
          <w:sz w:val="28"/>
          <w:szCs w:val="28"/>
        </w:rPr>
      </w:pPr>
    </w:p>
    <w:p w14:paraId="7EF0FC70" w14:textId="77777777" w:rsidR="00ED4C38" w:rsidRDefault="00ED4C38">
      <w:pPr>
        <w:jc w:val="center"/>
        <w:rPr>
          <w:rFonts w:ascii="Arial" w:hAnsi="Arial" w:cs="Arial"/>
          <w:b/>
          <w:i/>
          <w:color w:val="4F81BD"/>
          <w:sz w:val="28"/>
          <w:szCs w:val="28"/>
        </w:rPr>
      </w:pPr>
    </w:p>
    <w:p w14:paraId="7E1148BF" w14:textId="77777777" w:rsidR="00ED4C38" w:rsidRDefault="00420E4E">
      <w:pPr>
        <w:jc w:val="center"/>
        <w:rPr>
          <w:rFonts w:ascii="Arial" w:hAnsi="Arial" w:cs="Arial"/>
          <w:b/>
          <w:i/>
          <w:color w:val="4F81BD"/>
          <w:sz w:val="28"/>
          <w:szCs w:val="28"/>
        </w:rPr>
      </w:pPr>
      <w:r>
        <w:rPr>
          <w:rFonts w:ascii="Arial" w:hAnsi="Arial" w:cs="Arial"/>
          <w:b/>
          <w:i/>
          <w:color w:val="4F81BD"/>
          <w:sz w:val="28"/>
          <w:szCs w:val="28"/>
        </w:rPr>
        <w:lastRenderedPageBreak/>
        <w:t>Procedura Gestione Lista di Attesa</w:t>
      </w:r>
    </w:p>
    <w:p w14:paraId="7820D586" w14:textId="77777777" w:rsidR="0066709F" w:rsidRDefault="00420E4E">
      <w:pPr>
        <w:jc w:val="center"/>
        <w:rPr>
          <w:rFonts w:ascii="Arial" w:hAnsi="Arial" w:cs="Arial"/>
          <w:b/>
          <w:i/>
          <w:color w:val="4F81BD"/>
          <w:sz w:val="28"/>
          <w:szCs w:val="28"/>
        </w:rPr>
      </w:pPr>
      <w:r>
        <w:rPr>
          <w:rFonts w:ascii="Arial" w:hAnsi="Arial" w:cs="Arial"/>
          <w:b/>
          <w:i/>
          <w:color w:val="4F81BD"/>
          <w:sz w:val="28"/>
          <w:szCs w:val="28"/>
        </w:rPr>
        <w:t xml:space="preserve"> Centro Diurno</w:t>
      </w:r>
    </w:p>
    <w:p w14:paraId="1EAC658D" w14:textId="77777777" w:rsidR="00420E4E" w:rsidRDefault="00420E4E">
      <w:pPr>
        <w:rPr>
          <w:rFonts w:ascii="Arial" w:hAnsi="Arial" w:cs="Arial"/>
          <w:szCs w:val="32"/>
        </w:rPr>
      </w:pPr>
    </w:p>
    <w:p w14:paraId="56C08D0A" w14:textId="77777777" w:rsidR="0066709F" w:rsidRPr="001D4165" w:rsidRDefault="0066709F">
      <w:pPr>
        <w:jc w:val="both"/>
        <w:rPr>
          <w:rFonts w:ascii="Arial" w:hAnsi="Arial" w:cs="Arial"/>
          <w:sz w:val="23"/>
          <w:szCs w:val="23"/>
        </w:rPr>
      </w:pPr>
      <w:r w:rsidRPr="001D4165">
        <w:rPr>
          <w:rFonts w:ascii="Arial" w:hAnsi="Arial" w:cs="Arial"/>
          <w:sz w:val="23"/>
          <w:szCs w:val="23"/>
        </w:rPr>
        <w:t xml:space="preserve">Per quanto riguarda gli </w:t>
      </w:r>
      <w:r w:rsidR="00ED4C38">
        <w:rPr>
          <w:rFonts w:ascii="Arial" w:hAnsi="Arial" w:cs="Arial"/>
          <w:sz w:val="23"/>
          <w:szCs w:val="23"/>
        </w:rPr>
        <w:t xml:space="preserve">Utenti </w:t>
      </w:r>
      <w:r w:rsidRPr="001D4165">
        <w:rPr>
          <w:rFonts w:ascii="Arial" w:hAnsi="Arial" w:cs="Arial"/>
          <w:sz w:val="23"/>
          <w:szCs w:val="23"/>
        </w:rPr>
        <w:t xml:space="preserve">convenzionati la lista d’attesa non è gestita dalla Struttura ma è di competenza dei Servizi Distrettuali Sanitari e Sociali.  </w:t>
      </w:r>
    </w:p>
    <w:p w14:paraId="33EFA907" w14:textId="77777777" w:rsidR="001D4165" w:rsidRPr="001D4165" w:rsidRDefault="001D4165">
      <w:pPr>
        <w:jc w:val="both"/>
        <w:rPr>
          <w:rFonts w:ascii="Arial" w:hAnsi="Arial" w:cs="Arial"/>
          <w:sz w:val="23"/>
          <w:szCs w:val="23"/>
        </w:rPr>
      </w:pPr>
    </w:p>
    <w:p w14:paraId="0C3436B5" w14:textId="77777777" w:rsidR="0066709F" w:rsidRPr="001D4165" w:rsidRDefault="00420E4E">
      <w:pPr>
        <w:jc w:val="both"/>
        <w:rPr>
          <w:rFonts w:ascii="Arial" w:hAnsi="Arial" w:cs="Arial"/>
          <w:sz w:val="23"/>
          <w:szCs w:val="23"/>
        </w:rPr>
      </w:pPr>
      <w:r w:rsidRPr="001D4165">
        <w:rPr>
          <w:rFonts w:ascii="Arial" w:hAnsi="Arial" w:cs="Arial"/>
          <w:sz w:val="23"/>
          <w:szCs w:val="23"/>
        </w:rPr>
        <w:t xml:space="preserve">La lista d’attesa del Centro Diurno </w:t>
      </w:r>
      <w:r w:rsidR="0066709F" w:rsidRPr="001D4165">
        <w:rPr>
          <w:rFonts w:ascii="Arial" w:hAnsi="Arial" w:cs="Arial"/>
          <w:sz w:val="23"/>
          <w:szCs w:val="23"/>
        </w:rPr>
        <w:t xml:space="preserve">relativa ai posti privati </w:t>
      </w:r>
      <w:r w:rsidRPr="001D4165">
        <w:rPr>
          <w:rFonts w:ascii="Arial" w:hAnsi="Arial" w:cs="Arial"/>
          <w:sz w:val="23"/>
          <w:szCs w:val="23"/>
        </w:rPr>
        <w:t xml:space="preserve">è gestita </w:t>
      </w:r>
      <w:r w:rsidR="00ED4C38">
        <w:rPr>
          <w:rFonts w:ascii="Arial" w:hAnsi="Arial" w:cs="Arial"/>
          <w:sz w:val="23"/>
          <w:szCs w:val="23"/>
        </w:rPr>
        <w:t xml:space="preserve">invece </w:t>
      </w:r>
      <w:r w:rsidRPr="001D4165">
        <w:rPr>
          <w:rFonts w:ascii="Arial" w:hAnsi="Arial" w:cs="Arial"/>
          <w:sz w:val="23"/>
          <w:szCs w:val="23"/>
        </w:rPr>
        <w:t xml:space="preserve">dalla </w:t>
      </w:r>
      <w:r w:rsidR="0066709F" w:rsidRPr="001D4165">
        <w:rPr>
          <w:rFonts w:ascii="Arial" w:hAnsi="Arial" w:cs="Arial"/>
          <w:sz w:val="23"/>
          <w:szCs w:val="23"/>
        </w:rPr>
        <w:t>Struttura.</w:t>
      </w:r>
    </w:p>
    <w:p w14:paraId="4A2363F8" w14:textId="77777777" w:rsidR="0066709F" w:rsidRPr="001D4165" w:rsidRDefault="0066709F">
      <w:pPr>
        <w:jc w:val="both"/>
        <w:rPr>
          <w:rFonts w:ascii="Arial" w:hAnsi="Arial" w:cs="Arial"/>
          <w:sz w:val="23"/>
          <w:szCs w:val="23"/>
        </w:rPr>
      </w:pPr>
    </w:p>
    <w:p w14:paraId="4ABEECFF" w14:textId="77777777" w:rsidR="00420E4E" w:rsidRPr="001D4165" w:rsidRDefault="00420E4E">
      <w:pPr>
        <w:jc w:val="both"/>
        <w:rPr>
          <w:rFonts w:ascii="Arial" w:hAnsi="Arial" w:cs="Arial"/>
          <w:sz w:val="23"/>
          <w:szCs w:val="23"/>
        </w:rPr>
      </w:pPr>
      <w:r w:rsidRPr="001D4165">
        <w:rPr>
          <w:rFonts w:ascii="Arial" w:hAnsi="Arial" w:cs="Arial"/>
          <w:sz w:val="23"/>
          <w:szCs w:val="23"/>
        </w:rPr>
        <w:t>Per tutti gli Ospiti (sia in regime di convenzionamento che privato) le fasi dell’ammissione sono le seguenti:</w:t>
      </w:r>
    </w:p>
    <w:p w14:paraId="1996CC8E" w14:textId="77777777" w:rsidR="001D4165" w:rsidRPr="001D4165" w:rsidRDefault="001D4165">
      <w:pPr>
        <w:jc w:val="both"/>
        <w:rPr>
          <w:rFonts w:ascii="Arial" w:hAnsi="Arial" w:cs="Arial"/>
          <w:sz w:val="23"/>
          <w:szCs w:val="23"/>
        </w:rPr>
      </w:pPr>
    </w:p>
    <w:p w14:paraId="4DEFC26B" w14:textId="02026E06" w:rsidR="00E27E1B" w:rsidRDefault="00420E4E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3"/>
          <w:szCs w:val="23"/>
        </w:rPr>
      </w:pPr>
      <w:r w:rsidRPr="001D4165">
        <w:rPr>
          <w:rFonts w:ascii="Arial" w:hAnsi="Arial" w:cs="Arial"/>
          <w:sz w:val="23"/>
          <w:szCs w:val="23"/>
        </w:rPr>
        <w:t>L</w:t>
      </w:r>
      <w:r w:rsidR="0066709F" w:rsidRPr="001D4165">
        <w:rPr>
          <w:rFonts w:ascii="Arial" w:hAnsi="Arial" w:cs="Arial"/>
          <w:sz w:val="23"/>
          <w:szCs w:val="23"/>
        </w:rPr>
        <w:t>o Psicologo</w:t>
      </w:r>
      <w:r w:rsidRPr="001D4165">
        <w:rPr>
          <w:rFonts w:ascii="Arial" w:hAnsi="Arial" w:cs="Arial"/>
          <w:sz w:val="23"/>
          <w:szCs w:val="23"/>
        </w:rPr>
        <w:t xml:space="preserve"> Coordinat</w:t>
      </w:r>
      <w:r w:rsidR="0066709F" w:rsidRPr="001D4165">
        <w:rPr>
          <w:rFonts w:ascii="Arial" w:hAnsi="Arial" w:cs="Arial"/>
          <w:sz w:val="23"/>
          <w:szCs w:val="23"/>
        </w:rPr>
        <w:t>ore</w:t>
      </w:r>
      <w:r w:rsidRPr="001D4165">
        <w:rPr>
          <w:rFonts w:ascii="Arial" w:hAnsi="Arial" w:cs="Arial"/>
          <w:sz w:val="23"/>
          <w:szCs w:val="23"/>
        </w:rPr>
        <w:t xml:space="preserve"> contatta il familiare referente e fissa un appuntamento presso il Centro Diurno per un colloquio preliminare e per una visita della Struttura.</w:t>
      </w:r>
      <w:r w:rsidR="00E27E1B">
        <w:rPr>
          <w:rFonts w:ascii="Arial" w:hAnsi="Arial" w:cs="Arial"/>
          <w:sz w:val="23"/>
          <w:szCs w:val="23"/>
        </w:rPr>
        <w:t xml:space="preserve"> </w:t>
      </w:r>
    </w:p>
    <w:p w14:paraId="324385EA" w14:textId="6925D830" w:rsidR="00E27E1B" w:rsidRDefault="00E27E1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Pr="001D4165">
        <w:rPr>
          <w:rFonts w:ascii="Arial" w:hAnsi="Arial" w:cs="Arial"/>
          <w:sz w:val="23"/>
          <w:szCs w:val="23"/>
        </w:rPr>
        <w:t xml:space="preserve">l Medico di Struttura visita il nuovo ospite </w:t>
      </w:r>
      <w:r>
        <w:rPr>
          <w:rFonts w:ascii="Arial" w:hAnsi="Arial" w:cs="Arial"/>
          <w:sz w:val="23"/>
          <w:szCs w:val="23"/>
        </w:rPr>
        <w:t xml:space="preserve">- </w:t>
      </w:r>
      <w:r w:rsidRPr="001D4165">
        <w:rPr>
          <w:rFonts w:ascii="Arial" w:hAnsi="Arial" w:cs="Arial"/>
          <w:sz w:val="23"/>
          <w:szCs w:val="23"/>
        </w:rPr>
        <w:t xml:space="preserve">ed insieme allo Psicologo </w:t>
      </w:r>
      <w:r>
        <w:rPr>
          <w:rFonts w:ascii="Arial" w:hAnsi="Arial" w:cs="Arial"/>
          <w:sz w:val="23"/>
          <w:szCs w:val="23"/>
        </w:rPr>
        <w:t xml:space="preserve">- </w:t>
      </w:r>
      <w:r w:rsidRPr="001D4165">
        <w:rPr>
          <w:rFonts w:ascii="Arial" w:hAnsi="Arial" w:cs="Arial"/>
          <w:sz w:val="23"/>
          <w:szCs w:val="23"/>
        </w:rPr>
        <w:t>effettuano un colloquio con l’anziano ed i familiari; in tale sede si raccolgono le informazioni per la prima stesura del Piano Assistenziale Individuale</w:t>
      </w:r>
    </w:p>
    <w:p w14:paraId="217D948E" w14:textId="2FB85709" w:rsidR="00420E4E" w:rsidRPr="001D4165" w:rsidRDefault="00E27E1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 termine del colloquio viene fissata la data dell’inizio frequenza.</w:t>
      </w:r>
    </w:p>
    <w:p w14:paraId="73972BAA" w14:textId="0BC7D05A" w:rsidR="00420E4E" w:rsidRPr="00E27E1B" w:rsidRDefault="00420E4E" w:rsidP="00E27E1B">
      <w:pPr>
        <w:numPr>
          <w:ilvl w:val="0"/>
          <w:numId w:val="8"/>
        </w:numPr>
        <w:spacing w:line="240" w:lineRule="atLeast"/>
        <w:jc w:val="both"/>
        <w:rPr>
          <w:rFonts w:ascii="Arial" w:hAnsi="Arial" w:cs="Arial"/>
          <w:sz w:val="23"/>
          <w:szCs w:val="23"/>
        </w:rPr>
      </w:pPr>
      <w:r w:rsidRPr="001D4165">
        <w:rPr>
          <w:rFonts w:ascii="Arial" w:hAnsi="Arial" w:cs="Arial"/>
          <w:sz w:val="23"/>
          <w:szCs w:val="23"/>
        </w:rPr>
        <w:t>Al momento dell’ingresso l’Ospite o i familiari stipulano il Contratto d’Ammissione con la Direzione</w:t>
      </w:r>
      <w:r w:rsidR="0079711B" w:rsidRPr="001D4165">
        <w:rPr>
          <w:rFonts w:ascii="Arial" w:hAnsi="Arial" w:cs="Arial"/>
          <w:sz w:val="23"/>
          <w:szCs w:val="23"/>
        </w:rPr>
        <w:t xml:space="preserve"> di</w:t>
      </w:r>
      <w:r w:rsidRPr="001D4165">
        <w:rPr>
          <w:rFonts w:ascii="Arial" w:hAnsi="Arial" w:cs="Arial"/>
          <w:sz w:val="23"/>
          <w:szCs w:val="23"/>
        </w:rPr>
        <w:t xml:space="preserve"> Stella Polare </w:t>
      </w:r>
      <w:proofErr w:type="spellStart"/>
      <w:r w:rsidRPr="001D4165">
        <w:rPr>
          <w:rFonts w:ascii="Arial" w:hAnsi="Arial" w:cs="Arial"/>
          <w:sz w:val="23"/>
          <w:szCs w:val="23"/>
        </w:rPr>
        <w:t>SpA</w:t>
      </w:r>
      <w:proofErr w:type="spellEnd"/>
      <w:r w:rsidRPr="001D4165">
        <w:rPr>
          <w:rFonts w:ascii="Arial" w:hAnsi="Arial" w:cs="Arial"/>
          <w:sz w:val="23"/>
          <w:szCs w:val="23"/>
        </w:rPr>
        <w:t xml:space="preserve"> presso gli Uffici Amministrativi. </w:t>
      </w:r>
      <w:bookmarkStart w:id="0" w:name="_GoBack"/>
      <w:bookmarkEnd w:id="0"/>
    </w:p>
    <w:p w14:paraId="09731CDC" w14:textId="77777777" w:rsidR="00420E4E" w:rsidRPr="001D4165" w:rsidRDefault="00420E4E">
      <w:pPr>
        <w:numPr>
          <w:ilvl w:val="0"/>
          <w:numId w:val="8"/>
        </w:numPr>
        <w:spacing w:line="240" w:lineRule="atLeast"/>
        <w:jc w:val="both"/>
        <w:rPr>
          <w:sz w:val="23"/>
          <w:szCs w:val="23"/>
        </w:rPr>
      </w:pPr>
      <w:r w:rsidRPr="001D4165">
        <w:rPr>
          <w:rFonts w:ascii="Arial" w:hAnsi="Arial" w:cs="Arial"/>
          <w:sz w:val="23"/>
          <w:szCs w:val="23"/>
        </w:rPr>
        <w:t xml:space="preserve">Per avere diritto al convenzionamento l’Assistente Sociale </w:t>
      </w:r>
      <w:r w:rsidR="00EB06C3" w:rsidRPr="001D4165">
        <w:rPr>
          <w:rFonts w:ascii="Arial" w:hAnsi="Arial" w:cs="Arial"/>
          <w:sz w:val="23"/>
          <w:szCs w:val="23"/>
        </w:rPr>
        <w:t xml:space="preserve">del Distretto </w:t>
      </w:r>
      <w:r w:rsidRPr="001D4165">
        <w:rPr>
          <w:rFonts w:ascii="Arial" w:hAnsi="Arial" w:cs="Arial"/>
          <w:sz w:val="23"/>
          <w:szCs w:val="23"/>
        </w:rPr>
        <w:t xml:space="preserve">invia l’anziano a visita medica presso l’Unità di Valutazione Geriatrica, che valuta la situazione dell’anziano ed il conseguente livello per l’inserimento in regime accreditato. </w:t>
      </w:r>
      <w:r w:rsidR="0066709F" w:rsidRPr="001D4165">
        <w:rPr>
          <w:rFonts w:ascii="Arial" w:hAnsi="Arial" w:cs="Arial"/>
          <w:sz w:val="23"/>
          <w:szCs w:val="23"/>
        </w:rPr>
        <w:t xml:space="preserve"> Non appena il convenzionamento viene riconosciuto all’ospite viene applicata la tariffa convenzionata di riferimento</w:t>
      </w:r>
    </w:p>
    <w:p w14:paraId="2026E064" w14:textId="77777777" w:rsidR="001D4165" w:rsidRPr="001D4165" w:rsidRDefault="001D4165" w:rsidP="008E2C10">
      <w:pPr>
        <w:jc w:val="both"/>
        <w:rPr>
          <w:rFonts w:ascii="Arial" w:hAnsi="Arial" w:cs="Arial"/>
          <w:sz w:val="23"/>
          <w:szCs w:val="23"/>
          <w:u w:val="single"/>
        </w:rPr>
      </w:pPr>
    </w:p>
    <w:p w14:paraId="0E7B2636" w14:textId="77777777" w:rsidR="008E2C10" w:rsidRPr="001D4165" w:rsidRDefault="008E2C10" w:rsidP="008E2C10">
      <w:pPr>
        <w:jc w:val="both"/>
        <w:rPr>
          <w:rFonts w:ascii="Arial" w:hAnsi="Arial" w:cs="Arial"/>
          <w:sz w:val="23"/>
          <w:szCs w:val="23"/>
        </w:rPr>
      </w:pPr>
      <w:r w:rsidRPr="001D4165">
        <w:rPr>
          <w:rFonts w:ascii="Arial" w:hAnsi="Arial" w:cs="Arial"/>
          <w:sz w:val="23"/>
          <w:szCs w:val="23"/>
          <w:u w:val="single"/>
        </w:rPr>
        <w:t>I tempi di attesa</w:t>
      </w:r>
      <w:r w:rsidRPr="001D4165">
        <w:rPr>
          <w:rFonts w:ascii="Arial" w:hAnsi="Arial" w:cs="Arial"/>
          <w:sz w:val="23"/>
          <w:szCs w:val="23"/>
        </w:rPr>
        <w:t xml:space="preserve"> non sono definibili in quanto dipendenti da cause esterne all’organizzazione (</w:t>
      </w:r>
      <w:r w:rsidR="001D4165" w:rsidRPr="001D4165">
        <w:rPr>
          <w:rFonts w:ascii="Arial" w:hAnsi="Arial" w:cs="Arial"/>
          <w:sz w:val="23"/>
          <w:szCs w:val="23"/>
        </w:rPr>
        <w:t>numero richieste presentate/</w:t>
      </w:r>
      <w:r w:rsidRPr="001D4165">
        <w:rPr>
          <w:rFonts w:ascii="Arial" w:hAnsi="Arial" w:cs="Arial"/>
          <w:sz w:val="23"/>
          <w:szCs w:val="23"/>
        </w:rPr>
        <w:t>rinuncia alla frequenza/ricovero in struttura residenziale/decesso degli ospiti).</w:t>
      </w:r>
    </w:p>
    <w:p w14:paraId="25759CD7" w14:textId="77777777" w:rsidR="008E2C10" w:rsidRPr="001D4165" w:rsidRDefault="008E2C10" w:rsidP="008E2C10">
      <w:pPr>
        <w:spacing w:line="240" w:lineRule="atLeast"/>
        <w:jc w:val="both"/>
        <w:rPr>
          <w:sz w:val="23"/>
          <w:szCs w:val="23"/>
        </w:rPr>
      </w:pPr>
    </w:p>
    <w:sectPr w:rsidR="008E2C10" w:rsidRPr="001D4165">
      <w:headerReference w:type="even" r:id="rId7"/>
      <w:headerReference w:type="default" r:id="rId8"/>
      <w:footerReference w:type="default" r:id="rId9"/>
      <w:pgSz w:w="11906" w:h="16838"/>
      <w:pgMar w:top="1417" w:right="1134" w:bottom="1134" w:left="1134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618C" w14:textId="77777777" w:rsidR="00780A49" w:rsidRDefault="00780A49">
      <w:r>
        <w:separator/>
      </w:r>
    </w:p>
  </w:endnote>
  <w:endnote w:type="continuationSeparator" w:id="0">
    <w:p w14:paraId="43E3EA88" w14:textId="77777777" w:rsidR="00780A49" w:rsidRDefault="007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4FB1" w14:textId="77777777" w:rsidR="00420E4E" w:rsidRDefault="00420E4E">
    <w:pPr>
      <w:pStyle w:val="Pidipagina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STELLA POLARE S.P.A.</w:t>
    </w:r>
  </w:p>
  <w:p w14:paraId="74810547" w14:textId="77777777" w:rsidR="00420E4E" w:rsidRDefault="00E0776D">
    <w:pPr>
      <w:pStyle w:val="Pidipa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Via Val di Canepa 33 16039</w:t>
    </w:r>
    <w:r w:rsidR="00420E4E">
      <w:rPr>
        <w:rFonts w:ascii="Arial" w:hAnsi="Arial" w:cs="Arial"/>
        <w:sz w:val="14"/>
        <w:szCs w:val="14"/>
      </w:rPr>
      <w:t xml:space="preserve"> Sestri Levante (</w:t>
    </w:r>
    <w:proofErr w:type="spellStart"/>
    <w:r w:rsidR="00420E4E">
      <w:rPr>
        <w:rFonts w:ascii="Arial" w:hAnsi="Arial" w:cs="Arial"/>
        <w:sz w:val="14"/>
        <w:szCs w:val="14"/>
      </w:rPr>
      <w:t>Ge</w:t>
    </w:r>
    <w:proofErr w:type="spellEnd"/>
    <w:r w:rsidR="00420E4E">
      <w:rPr>
        <w:rFonts w:ascii="Arial" w:hAnsi="Arial" w:cs="Arial"/>
        <w:sz w:val="14"/>
        <w:szCs w:val="14"/>
      </w:rPr>
      <w:t>)</w:t>
    </w:r>
  </w:p>
  <w:p w14:paraId="14B46CAE" w14:textId="77777777" w:rsidR="00420E4E" w:rsidRDefault="00420E4E">
    <w:pPr>
      <w:pStyle w:val="Pidipa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Codice Fiscale, Partita IVA  e Iscrizione Registro Imprese Genova 01580960993 R.E.A. 420170</w:t>
    </w:r>
  </w:p>
  <w:p w14:paraId="68BA1AA9" w14:textId="77777777" w:rsidR="00420E4E" w:rsidRDefault="008563D6" w:rsidP="008563D6">
    <w:pPr>
      <w:pStyle w:val="Pidipagina"/>
      <w:rPr>
        <w:rFonts w:ascii="Arial" w:hAnsi="Arial" w:cs="Arial"/>
        <w:sz w:val="14"/>
        <w:szCs w:val="14"/>
      </w:rPr>
    </w:pPr>
    <w:r w:rsidRPr="008563D6">
      <w:rPr>
        <w:rFonts w:ascii="Arial" w:hAnsi="Arial" w:cs="Arial"/>
        <w:sz w:val="14"/>
        <w:szCs w:val="14"/>
      </w:rPr>
      <w:t xml:space="preserve">Pag. </w:t>
    </w:r>
    <w:r w:rsidRPr="008563D6">
      <w:rPr>
        <w:rFonts w:ascii="Arial" w:hAnsi="Arial" w:cs="Arial"/>
        <w:b/>
        <w:bCs/>
        <w:sz w:val="14"/>
        <w:szCs w:val="14"/>
      </w:rPr>
      <w:fldChar w:fldCharType="begin"/>
    </w:r>
    <w:r w:rsidRPr="008563D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8563D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8563D6">
      <w:rPr>
        <w:rFonts w:ascii="Arial" w:hAnsi="Arial" w:cs="Arial"/>
        <w:b/>
        <w:bCs/>
        <w:sz w:val="14"/>
        <w:szCs w:val="14"/>
      </w:rPr>
      <w:fldChar w:fldCharType="end"/>
    </w:r>
    <w:r w:rsidRPr="008563D6">
      <w:rPr>
        <w:rFonts w:ascii="Arial" w:hAnsi="Arial" w:cs="Arial"/>
        <w:sz w:val="14"/>
        <w:szCs w:val="14"/>
      </w:rPr>
      <w:t xml:space="preserve"> a </w:t>
    </w:r>
    <w:r w:rsidRPr="008563D6">
      <w:rPr>
        <w:rFonts w:ascii="Arial" w:hAnsi="Arial" w:cs="Arial"/>
        <w:b/>
        <w:bCs/>
        <w:sz w:val="14"/>
        <w:szCs w:val="14"/>
      </w:rPr>
      <w:fldChar w:fldCharType="begin"/>
    </w:r>
    <w:r w:rsidRPr="008563D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8563D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8563D6"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b/>
        <w:bCs/>
        <w:sz w:val="14"/>
        <w:szCs w:val="14"/>
      </w:rPr>
      <w:tab/>
    </w:r>
    <w:r>
      <w:rPr>
        <w:rFonts w:ascii="Arial" w:hAnsi="Arial" w:cs="Arial"/>
        <w:b/>
        <w:bCs/>
        <w:sz w:val="14"/>
        <w:szCs w:val="14"/>
      </w:rPr>
      <w:tab/>
    </w:r>
    <w:r w:rsidR="00420E4E">
      <w:rPr>
        <w:rFonts w:ascii="Arial" w:hAnsi="Arial" w:cs="Arial"/>
        <w:sz w:val="14"/>
        <w:szCs w:val="14"/>
      </w:rPr>
      <w:t>PR DG 008/REV 0</w:t>
    </w:r>
    <w:r w:rsidR="008E2C10">
      <w:rPr>
        <w:rFonts w:ascii="Arial" w:hAnsi="Arial" w:cs="Arial"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EB8ED" w14:textId="77777777" w:rsidR="00780A49" w:rsidRDefault="00780A49">
      <w:r>
        <w:separator/>
      </w:r>
    </w:p>
  </w:footnote>
  <w:footnote w:type="continuationSeparator" w:id="0">
    <w:p w14:paraId="64C3A335" w14:textId="77777777" w:rsidR="00780A49" w:rsidRDefault="0078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452B" w14:textId="77777777" w:rsidR="00420E4E" w:rsidRDefault="00420E4E">
    <w:pPr>
      <w:pStyle w:val="Intestazione"/>
      <w:framePr w:wrap="around" w:vAnchor="text" w:hAnchor="margin" w:xAlign="in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783FFE" w14:textId="77777777" w:rsidR="00420E4E" w:rsidRDefault="00420E4E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1512" w14:textId="77777777" w:rsidR="00420E4E" w:rsidRDefault="00420E4E">
    <w:pPr>
      <w:pStyle w:val="Intestazione"/>
    </w:pPr>
  </w:p>
  <w:p w14:paraId="08BE2CEF" w14:textId="77777777" w:rsidR="00420E4E" w:rsidRDefault="00E27E1B">
    <w:pPr>
      <w:pStyle w:val="Intestazione"/>
      <w:tabs>
        <w:tab w:val="clear" w:pos="4819"/>
        <w:tab w:val="clear" w:pos="9638"/>
        <w:tab w:val="left" w:pos="7125"/>
      </w:tabs>
    </w:pPr>
    <w:r>
      <w:pict w14:anchorId="4A5D0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2pt;height:61.2pt">
          <v:imagedata r:id="rId1" o:title="Immagine" cropbottom="49446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C9B"/>
    <w:multiLevelType w:val="hybridMultilevel"/>
    <w:tmpl w:val="7FF6A6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B51E0"/>
    <w:multiLevelType w:val="hybridMultilevel"/>
    <w:tmpl w:val="8F66CAD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1846B1"/>
    <w:multiLevelType w:val="hybridMultilevel"/>
    <w:tmpl w:val="06ECEE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0BB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300CC"/>
    <w:multiLevelType w:val="hybridMultilevel"/>
    <w:tmpl w:val="685AB5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C7840"/>
    <w:multiLevelType w:val="hybridMultilevel"/>
    <w:tmpl w:val="E7CAD832"/>
    <w:lvl w:ilvl="0" w:tplc="3A6252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094D"/>
    <w:multiLevelType w:val="hybridMultilevel"/>
    <w:tmpl w:val="079651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3D4DCD"/>
    <w:multiLevelType w:val="hybridMultilevel"/>
    <w:tmpl w:val="AE50BA0C"/>
    <w:lvl w:ilvl="0" w:tplc="DC3098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ahom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0702827"/>
    <w:multiLevelType w:val="hybridMultilevel"/>
    <w:tmpl w:val="DA7A0CDC"/>
    <w:lvl w:ilvl="0" w:tplc="A66883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31FA4"/>
    <w:multiLevelType w:val="hybridMultilevel"/>
    <w:tmpl w:val="14E625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46166"/>
    <w:multiLevelType w:val="hybridMultilevel"/>
    <w:tmpl w:val="950A0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026D3"/>
    <w:multiLevelType w:val="hybridMultilevel"/>
    <w:tmpl w:val="9F3089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776D"/>
    <w:rsid w:val="000054BF"/>
    <w:rsid w:val="001D4165"/>
    <w:rsid w:val="003F186B"/>
    <w:rsid w:val="00420E4E"/>
    <w:rsid w:val="005E2513"/>
    <w:rsid w:val="0066709F"/>
    <w:rsid w:val="006C016F"/>
    <w:rsid w:val="00751152"/>
    <w:rsid w:val="00780A49"/>
    <w:rsid w:val="007963D2"/>
    <w:rsid w:val="0079711B"/>
    <w:rsid w:val="008563D6"/>
    <w:rsid w:val="008E2C10"/>
    <w:rsid w:val="00E02FCF"/>
    <w:rsid w:val="00E0776D"/>
    <w:rsid w:val="00E27E1B"/>
    <w:rsid w:val="00EB06C3"/>
    <w:rsid w:val="00E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EFD5400"/>
  <w15:chartTrackingRefBased/>
  <w15:docId w15:val="{2B18F791-C926-44C8-AC34-E5ADFA1E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lgerian" w:hAnsi="Algerian"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Pr>
      <w:sz w:val="24"/>
      <w:szCs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Pr>
      <w:sz w:val="24"/>
      <w:szCs w:val="24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</vt:lpstr>
    </vt:vector>
  </TitlesOfParts>
  <Company>Consorzio Tassano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</dc:title>
  <dc:subject/>
  <dc:creator>Utente</dc:creator>
  <cp:keywords/>
  <cp:lastModifiedBy>Silvia Traversi</cp:lastModifiedBy>
  <cp:revision>7</cp:revision>
  <cp:lastPrinted>2013-07-08T09:54:00Z</cp:lastPrinted>
  <dcterms:created xsi:type="dcterms:W3CDTF">2018-05-15T09:29:00Z</dcterms:created>
  <dcterms:modified xsi:type="dcterms:W3CDTF">2019-06-20T13:20:00Z</dcterms:modified>
</cp:coreProperties>
</file>